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DA8" w:rsidRPr="00C14DA8" w:rsidRDefault="00C14DA8" w:rsidP="00C14DA8">
      <w:pPr>
        <w:widowControl w:val="0"/>
        <w:autoSpaceDE w:val="0"/>
        <w:autoSpaceDN w:val="0"/>
        <w:adjustRightInd w:val="0"/>
        <w:jc w:val="center"/>
        <w:rPr>
          <w:rFonts w:ascii="Arial" w:hAnsi="Arial" w:cs="Arial"/>
          <w:b/>
          <w:sz w:val="20"/>
          <w:szCs w:val="20"/>
        </w:rPr>
      </w:pPr>
      <w:r w:rsidRPr="00C14DA8">
        <w:rPr>
          <w:rFonts w:ascii="Arial" w:hAnsi="Arial" w:cs="Arial"/>
          <w:b/>
          <w:sz w:val="20"/>
          <w:szCs w:val="20"/>
        </w:rPr>
        <w:t>Low Urine Output</w:t>
      </w:r>
    </w:p>
    <w:p w:rsidR="00C14DA8" w:rsidRPr="00C14DA8" w:rsidRDefault="00C14DA8" w:rsidP="00C14DA8">
      <w:pPr>
        <w:widowControl w:val="0"/>
        <w:autoSpaceDE w:val="0"/>
        <w:autoSpaceDN w:val="0"/>
        <w:adjustRightInd w:val="0"/>
        <w:rPr>
          <w:rFonts w:ascii="Arial" w:hAnsi="Arial" w:cs="Arial"/>
          <w:sz w:val="20"/>
          <w:szCs w:val="20"/>
        </w:rPr>
      </w:pPr>
      <w:r w:rsidRPr="00C14DA8">
        <w:rPr>
          <w:rFonts w:ascii="Arial" w:hAnsi="Arial" w:cs="Arial"/>
          <w:sz w:val="20"/>
          <w:szCs w:val="20"/>
        </w:rPr>
        <w:t xml:space="preserve">1. </w:t>
      </w:r>
      <w:r w:rsidRPr="00C14DA8">
        <w:rPr>
          <w:rFonts w:ascii="Arial" w:hAnsi="Arial" w:cs="Arial"/>
          <w:b/>
          <w:bCs/>
          <w:sz w:val="20"/>
          <w:szCs w:val="20"/>
        </w:rPr>
        <w:t>Normal urine output</w:t>
      </w:r>
      <w:r w:rsidRPr="00C14DA8">
        <w:rPr>
          <w:rFonts w:ascii="Arial" w:hAnsi="Arial" w:cs="Arial"/>
          <w:sz w:val="20"/>
          <w:szCs w:val="20"/>
        </w:rPr>
        <w:t xml:space="preserve"> is typically at least 0.5 cc/kg/hr. Oliguria is defined as urine output &lt; 400 cc/day, and anuria is &lt; 100 cc/day.</w:t>
      </w:r>
    </w:p>
    <w:p w:rsidR="00C14DA8" w:rsidRPr="00C14DA8" w:rsidRDefault="00C14DA8" w:rsidP="00C14DA8">
      <w:pPr>
        <w:widowControl w:val="0"/>
        <w:autoSpaceDE w:val="0"/>
        <w:autoSpaceDN w:val="0"/>
        <w:adjustRightInd w:val="0"/>
        <w:rPr>
          <w:rFonts w:ascii="Arial" w:hAnsi="Arial" w:cs="Arial"/>
          <w:sz w:val="20"/>
          <w:szCs w:val="20"/>
        </w:rPr>
      </w:pPr>
      <w:r w:rsidRPr="00C14DA8">
        <w:rPr>
          <w:rFonts w:ascii="Arial" w:hAnsi="Arial" w:cs="Arial"/>
          <w:sz w:val="20"/>
          <w:szCs w:val="20"/>
        </w:rPr>
        <w:t xml:space="preserve">2. </w:t>
      </w:r>
      <w:r w:rsidRPr="00C14DA8">
        <w:rPr>
          <w:rFonts w:ascii="Arial" w:hAnsi="Arial" w:cs="Arial"/>
          <w:b/>
          <w:bCs/>
          <w:sz w:val="20"/>
          <w:szCs w:val="20"/>
        </w:rPr>
        <w:t>First, do you believe the numbers?</w:t>
      </w:r>
    </w:p>
    <w:p w:rsidR="00C14DA8" w:rsidRPr="00C14DA8" w:rsidRDefault="00C14DA8" w:rsidP="00C14DA8">
      <w:pPr>
        <w:pStyle w:val="ListParagraph"/>
        <w:widowControl w:val="0"/>
        <w:numPr>
          <w:ilvl w:val="0"/>
          <w:numId w:val="6"/>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If patient has a Foley, flush tubing to make sure it is not clogged.</w:t>
      </w:r>
    </w:p>
    <w:p w:rsidR="00C14DA8" w:rsidRPr="00C14DA8" w:rsidRDefault="00C14DA8" w:rsidP="00C14DA8">
      <w:pPr>
        <w:pStyle w:val="ListParagraph"/>
        <w:widowControl w:val="0"/>
        <w:numPr>
          <w:ilvl w:val="0"/>
          <w:numId w:val="6"/>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If patient does not have Foley, ask about urine output. Look for daily weights.</w:t>
      </w:r>
    </w:p>
    <w:p w:rsidR="00C14DA8" w:rsidRPr="00C14DA8" w:rsidRDefault="00C14DA8" w:rsidP="00C14DA8">
      <w:pPr>
        <w:widowControl w:val="0"/>
        <w:autoSpaceDE w:val="0"/>
        <w:autoSpaceDN w:val="0"/>
        <w:adjustRightInd w:val="0"/>
        <w:rPr>
          <w:rFonts w:ascii="Arial" w:hAnsi="Arial" w:cs="Arial"/>
          <w:sz w:val="20"/>
          <w:szCs w:val="20"/>
        </w:rPr>
      </w:pPr>
      <w:r w:rsidRPr="00C14DA8">
        <w:rPr>
          <w:rFonts w:ascii="Arial" w:hAnsi="Arial" w:cs="Arial"/>
          <w:sz w:val="20"/>
          <w:szCs w:val="20"/>
        </w:rPr>
        <w:t xml:space="preserve">3. </w:t>
      </w:r>
      <w:r w:rsidRPr="00C14DA8">
        <w:rPr>
          <w:rFonts w:ascii="Arial" w:hAnsi="Arial" w:cs="Arial"/>
          <w:b/>
          <w:bCs/>
          <w:sz w:val="20"/>
          <w:szCs w:val="20"/>
        </w:rPr>
        <w:t>Examine the patient</w:t>
      </w:r>
      <w:r w:rsidRPr="00C14DA8">
        <w:rPr>
          <w:rFonts w:ascii="Arial" w:hAnsi="Arial" w:cs="Arial"/>
          <w:sz w:val="20"/>
          <w:szCs w:val="20"/>
        </w:rPr>
        <w:t xml:space="preserve"> and assess volume status. Some places to look especially:</w:t>
      </w:r>
    </w:p>
    <w:p w:rsidR="00C14DA8" w:rsidRPr="00C14DA8" w:rsidRDefault="00C14DA8" w:rsidP="00C14DA8">
      <w:pPr>
        <w:pStyle w:val="ListParagraph"/>
        <w:widowControl w:val="0"/>
        <w:numPr>
          <w:ilvl w:val="0"/>
          <w:numId w:val="7"/>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Mucous membranes, skin pallor/dryness, edema, complaints of thirst</w:t>
      </w:r>
    </w:p>
    <w:p w:rsidR="00C14DA8" w:rsidRPr="00C14DA8" w:rsidRDefault="00C14DA8" w:rsidP="00C14DA8">
      <w:pPr>
        <w:pStyle w:val="ListParagraph"/>
        <w:widowControl w:val="0"/>
        <w:numPr>
          <w:ilvl w:val="0"/>
          <w:numId w:val="7"/>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Neck veins (to assess CVP), crackles in lungs (pulmonary edema)</w:t>
      </w:r>
    </w:p>
    <w:p w:rsidR="00C14DA8" w:rsidRPr="00C14DA8" w:rsidRDefault="00C14DA8" w:rsidP="00C14DA8">
      <w:pPr>
        <w:pStyle w:val="ListParagraph"/>
        <w:widowControl w:val="0"/>
        <w:numPr>
          <w:ilvl w:val="0"/>
          <w:numId w:val="7"/>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Bladder palpable on abdominal exam</w:t>
      </w:r>
    </w:p>
    <w:p w:rsidR="00C14DA8" w:rsidRPr="00C14DA8" w:rsidRDefault="00C14DA8" w:rsidP="00C14DA8">
      <w:pPr>
        <w:pStyle w:val="ListParagraph"/>
        <w:widowControl w:val="0"/>
        <w:numPr>
          <w:ilvl w:val="0"/>
          <w:numId w:val="7"/>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Prostate exam</w:t>
      </w:r>
    </w:p>
    <w:p w:rsidR="00C14DA8" w:rsidRPr="00C14DA8" w:rsidRDefault="00C14DA8" w:rsidP="00C14DA8">
      <w:pPr>
        <w:widowControl w:val="0"/>
        <w:autoSpaceDE w:val="0"/>
        <w:autoSpaceDN w:val="0"/>
        <w:adjustRightInd w:val="0"/>
        <w:rPr>
          <w:rFonts w:ascii="Arial" w:hAnsi="Arial" w:cs="Arial"/>
          <w:sz w:val="20"/>
          <w:szCs w:val="20"/>
        </w:rPr>
      </w:pPr>
      <w:r w:rsidRPr="00C14DA8">
        <w:rPr>
          <w:rFonts w:ascii="Arial" w:hAnsi="Arial" w:cs="Arial"/>
          <w:sz w:val="20"/>
          <w:szCs w:val="20"/>
        </w:rPr>
        <w:t xml:space="preserve">4. The abrupt absence of urine output altogether (anuria) most often suggests obstructive </w:t>
      </w:r>
      <w:proofErr w:type="spellStart"/>
      <w:r w:rsidRPr="00C14DA8">
        <w:rPr>
          <w:rFonts w:ascii="Arial" w:hAnsi="Arial" w:cs="Arial"/>
          <w:sz w:val="20"/>
          <w:szCs w:val="20"/>
        </w:rPr>
        <w:t>uropathy</w:t>
      </w:r>
      <w:proofErr w:type="spellEnd"/>
      <w:r w:rsidRPr="00C14DA8">
        <w:rPr>
          <w:rFonts w:ascii="Arial" w:hAnsi="Arial" w:cs="Arial"/>
          <w:sz w:val="20"/>
          <w:szCs w:val="20"/>
        </w:rPr>
        <w:t>. Other causes to consider if obstruction is not the case are:</w:t>
      </w:r>
    </w:p>
    <w:p w:rsidR="00C14DA8" w:rsidRPr="00C14DA8" w:rsidRDefault="00C14DA8" w:rsidP="00C14DA8">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Progression of preexisting renal failure</w:t>
      </w:r>
    </w:p>
    <w:p w:rsidR="00C14DA8" w:rsidRPr="00C14DA8" w:rsidRDefault="00C14DA8" w:rsidP="00C14DA8">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Renal cortical necrosis</w:t>
      </w:r>
    </w:p>
    <w:p w:rsidR="00C14DA8" w:rsidRPr="00C14DA8" w:rsidRDefault="00C14DA8" w:rsidP="00C14DA8">
      <w:pPr>
        <w:pStyle w:val="ListParagraph"/>
        <w:widowControl w:val="0"/>
        <w:numPr>
          <w:ilvl w:val="0"/>
          <w:numId w:val="8"/>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Necrotizing glomerular disease (RPGN)</w:t>
      </w:r>
    </w:p>
    <w:p w:rsidR="00C14DA8" w:rsidRPr="00C14DA8" w:rsidRDefault="00C14DA8" w:rsidP="00C14DA8">
      <w:pPr>
        <w:widowControl w:val="0"/>
        <w:autoSpaceDE w:val="0"/>
        <w:autoSpaceDN w:val="0"/>
        <w:adjustRightInd w:val="0"/>
        <w:rPr>
          <w:rFonts w:ascii="Arial" w:hAnsi="Arial" w:cs="Arial"/>
          <w:sz w:val="20"/>
          <w:szCs w:val="20"/>
        </w:rPr>
      </w:pPr>
      <w:r w:rsidRPr="00C14DA8">
        <w:rPr>
          <w:rFonts w:ascii="Arial" w:hAnsi="Arial" w:cs="Arial"/>
          <w:sz w:val="20"/>
          <w:szCs w:val="20"/>
        </w:rPr>
        <w:t xml:space="preserve">5. </w:t>
      </w:r>
      <w:r w:rsidRPr="00C14DA8">
        <w:rPr>
          <w:rFonts w:ascii="Arial" w:hAnsi="Arial" w:cs="Arial"/>
          <w:b/>
          <w:bCs/>
          <w:sz w:val="20"/>
          <w:szCs w:val="20"/>
        </w:rPr>
        <w:t xml:space="preserve">Rule out obstructive </w:t>
      </w:r>
      <w:proofErr w:type="spellStart"/>
      <w:r w:rsidRPr="00C14DA8">
        <w:rPr>
          <w:rFonts w:ascii="Arial" w:hAnsi="Arial" w:cs="Arial"/>
          <w:b/>
          <w:bCs/>
          <w:sz w:val="20"/>
          <w:szCs w:val="20"/>
        </w:rPr>
        <w:t>uropathy</w:t>
      </w:r>
      <w:proofErr w:type="spellEnd"/>
      <w:r w:rsidRPr="00C14DA8">
        <w:rPr>
          <w:rFonts w:ascii="Arial" w:hAnsi="Arial" w:cs="Arial"/>
          <w:sz w:val="20"/>
          <w:szCs w:val="20"/>
        </w:rPr>
        <w:t xml:space="preserve"> early by checking a post-void residual by inserting Foley after patient voids. If volume &gt; 200 cc then leave the Foley in; this indicates significant residual bladder volume indicating urinary retention. Some reasons for urinary retention include prostatic hy</w:t>
      </w:r>
      <w:r>
        <w:rPr>
          <w:rFonts w:ascii="Arial" w:hAnsi="Arial" w:cs="Arial"/>
          <w:sz w:val="20"/>
          <w:szCs w:val="20"/>
        </w:rPr>
        <w:t xml:space="preserve">pertrophy, anticholinergic side </w:t>
      </w:r>
      <w:r w:rsidRPr="00C14DA8">
        <w:rPr>
          <w:rFonts w:ascii="Arial" w:hAnsi="Arial" w:cs="Arial"/>
          <w:sz w:val="20"/>
          <w:szCs w:val="20"/>
        </w:rPr>
        <w:t>effects of medications (narcotics, Benadryl, anesthetics, etc.)</w:t>
      </w:r>
    </w:p>
    <w:p w:rsidR="00C14DA8" w:rsidRPr="00C14DA8" w:rsidRDefault="00C14DA8" w:rsidP="00C14DA8">
      <w:pPr>
        <w:widowControl w:val="0"/>
        <w:autoSpaceDE w:val="0"/>
        <w:autoSpaceDN w:val="0"/>
        <w:adjustRightInd w:val="0"/>
        <w:rPr>
          <w:rFonts w:ascii="Arial" w:hAnsi="Arial" w:cs="Arial"/>
          <w:sz w:val="20"/>
          <w:szCs w:val="20"/>
        </w:rPr>
      </w:pPr>
      <w:r w:rsidRPr="00C14DA8">
        <w:rPr>
          <w:rFonts w:ascii="Arial" w:hAnsi="Arial" w:cs="Arial"/>
          <w:sz w:val="20"/>
          <w:szCs w:val="20"/>
        </w:rPr>
        <w:t xml:space="preserve">6. </w:t>
      </w:r>
      <w:r w:rsidRPr="00C14DA8">
        <w:rPr>
          <w:rFonts w:ascii="Arial" w:hAnsi="Arial" w:cs="Arial"/>
          <w:b/>
          <w:bCs/>
          <w:sz w:val="20"/>
          <w:szCs w:val="20"/>
        </w:rPr>
        <w:t xml:space="preserve">Work-up: </w:t>
      </w:r>
      <w:r w:rsidRPr="00C14DA8">
        <w:rPr>
          <w:rFonts w:ascii="Arial" w:hAnsi="Arial" w:cs="Arial"/>
          <w:sz w:val="20"/>
          <w:szCs w:val="20"/>
        </w:rPr>
        <w:t xml:space="preserve">Renal failure is caused by </w:t>
      </w:r>
      <w:proofErr w:type="spellStart"/>
      <w:r w:rsidRPr="00C14DA8">
        <w:rPr>
          <w:rFonts w:ascii="Arial" w:hAnsi="Arial" w:cs="Arial"/>
          <w:sz w:val="20"/>
          <w:szCs w:val="20"/>
        </w:rPr>
        <w:t>prerenal</w:t>
      </w:r>
      <w:proofErr w:type="spellEnd"/>
      <w:r w:rsidRPr="00C14DA8">
        <w:rPr>
          <w:rFonts w:ascii="Arial" w:hAnsi="Arial" w:cs="Arial"/>
          <w:sz w:val="20"/>
          <w:szCs w:val="20"/>
        </w:rPr>
        <w:t xml:space="preserve">, renal, and </w:t>
      </w:r>
      <w:proofErr w:type="spellStart"/>
      <w:r w:rsidRPr="00C14DA8">
        <w:rPr>
          <w:rFonts w:ascii="Arial" w:hAnsi="Arial" w:cs="Arial"/>
          <w:sz w:val="20"/>
          <w:szCs w:val="20"/>
        </w:rPr>
        <w:t>postrenal</w:t>
      </w:r>
      <w:proofErr w:type="spellEnd"/>
      <w:r w:rsidRPr="00C14DA8">
        <w:rPr>
          <w:rFonts w:ascii="Arial" w:hAnsi="Arial" w:cs="Arial"/>
          <w:sz w:val="20"/>
          <w:szCs w:val="20"/>
        </w:rPr>
        <w:t xml:space="preserve"> causes. Many laboratory indices exist to differentiate these (see </w:t>
      </w:r>
      <w:hyperlink r:id="rId6" w:history="1">
        <w:r w:rsidRPr="00C14DA8">
          <w:rPr>
            <w:rFonts w:ascii="Arial" w:hAnsi="Arial" w:cs="Arial"/>
            <w:b/>
            <w:bCs/>
            <w:sz w:val="20"/>
            <w:szCs w:val="20"/>
          </w:rPr>
          <w:t>Renal: Acute Reversible Renal Dysfunction</w:t>
        </w:r>
      </w:hyperlink>
      <w:r w:rsidRPr="00C14DA8">
        <w:rPr>
          <w:rFonts w:ascii="Arial" w:hAnsi="Arial" w:cs="Arial"/>
          <w:sz w:val="20"/>
          <w:szCs w:val="20"/>
        </w:rPr>
        <w:t xml:space="preserve">), but if patient is not volume overloaded or obstructed and has no history of CHF, then a fluid challenge is usually appropriate (250-500 cc NS IV bolus). If they respond, however, your job is not quite done yet. Do the workup described under the </w:t>
      </w:r>
      <w:proofErr w:type="gramStart"/>
      <w:r w:rsidRPr="00C14DA8">
        <w:rPr>
          <w:rFonts w:ascii="Arial" w:hAnsi="Arial" w:cs="Arial"/>
          <w:sz w:val="20"/>
          <w:szCs w:val="20"/>
        </w:rPr>
        <w:t>Renal</w:t>
      </w:r>
      <w:proofErr w:type="gramEnd"/>
      <w:r w:rsidRPr="00C14DA8">
        <w:rPr>
          <w:rFonts w:ascii="Arial" w:hAnsi="Arial" w:cs="Arial"/>
          <w:sz w:val="20"/>
          <w:szCs w:val="20"/>
        </w:rPr>
        <w:t xml:space="preserve"> section.</w:t>
      </w:r>
    </w:p>
    <w:p w:rsidR="00C14DA8" w:rsidRPr="00C14DA8" w:rsidRDefault="00C14DA8" w:rsidP="00C14DA8">
      <w:pPr>
        <w:pStyle w:val="ListParagraph"/>
        <w:widowControl w:val="0"/>
        <w:numPr>
          <w:ilvl w:val="0"/>
          <w:numId w:val="9"/>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 xml:space="preserve">Always consider </w:t>
      </w:r>
      <w:proofErr w:type="spellStart"/>
      <w:r w:rsidRPr="00C14DA8">
        <w:rPr>
          <w:rFonts w:ascii="Arial" w:hAnsi="Arial" w:cs="Arial"/>
          <w:sz w:val="20"/>
          <w:szCs w:val="20"/>
        </w:rPr>
        <w:t>hypovolemia</w:t>
      </w:r>
      <w:proofErr w:type="spellEnd"/>
      <w:r w:rsidRPr="00C14DA8">
        <w:rPr>
          <w:rFonts w:ascii="Arial" w:hAnsi="Arial" w:cs="Arial"/>
          <w:sz w:val="20"/>
          <w:szCs w:val="20"/>
        </w:rPr>
        <w:t>, decreased cardiac output, infection or sepsis, contrast nephropathy, and drug toxicity as potential causes because they are very common</w:t>
      </w:r>
    </w:p>
    <w:p w:rsidR="00C14DA8" w:rsidRPr="00C14DA8" w:rsidRDefault="00C14DA8" w:rsidP="00C14DA8">
      <w:pPr>
        <w:pStyle w:val="ListParagraph"/>
        <w:widowControl w:val="0"/>
        <w:numPr>
          <w:ilvl w:val="0"/>
          <w:numId w:val="9"/>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Beware of associated volume overload, acidosis, and hyperkalemia</w:t>
      </w:r>
    </w:p>
    <w:p w:rsidR="00C14DA8" w:rsidRPr="00C14DA8" w:rsidRDefault="00C14DA8" w:rsidP="00C14DA8">
      <w:pPr>
        <w:pStyle w:val="ListParagraph"/>
        <w:widowControl w:val="0"/>
        <w:numPr>
          <w:ilvl w:val="0"/>
          <w:numId w:val="9"/>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Consider increasing the frequency of labs and adjust drug dosages for renal failure as needed</w:t>
      </w:r>
    </w:p>
    <w:p w:rsidR="00C14DA8" w:rsidRPr="00C14DA8" w:rsidRDefault="00C14DA8" w:rsidP="00C14DA8">
      <w:pPr>
        <w:widowControl w:val="0"/>
        <w:autoSpaceDE w:val="0"/>
        <w:autoSpaceDN w:val="0"/>
        <w:adjustRightInd w:val="0"/>
        <w:rPr>
          <w:rFonts w:ascii="Arial" w:hAnsi="Arial" w:cs="Arial"/>
          <w:sz w:val="20"/>
          <w:szCs w:val="20"/>
        </w:rPr>
      </w:pPr>
      <w:r w:rsidRPr="00C14DA8">
        <w:rPr>
          <w:rFonts w:ascii="Arial" w:hAnsi="Arial" w:cs="Arial"/>
          <w:sz w:val="20"/>
          <w:szCs w:val="20"/>
        </w:rPr>
        <w:t>7. If patient is in CHF or is volume overloaded, initiate diuresis. Remember, though, that unless the patient is truly volume overloaded, diuresis just for the sake of increasing urine output is pointless - treat the patient, not the numbers.</w:t>
      </w:r>
    </w:p>
    <w:p w:rsidR="00C14DA8" w:rsidRPr="00C14DA8" w:rsidRDefault="00C14DA8" w:rsidP="00C14DA8">
      <w:pPr>
        <w:pStyle w:val="ListParagraph"/>
        <w:widowControl w:val="0"/>
        <w:numPr>
          <w:ilvl w:val="0"/>
          <w:numId w:val="10"/>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 xml:space="preserve">Patients with working kidneys and overaggressive hydration usually will </w:t>
      </w:r>
      <w:proofErr w:type="spellStart"/>
      <w:r w:rsidRPr="00C14DA8">
        <w:rPr>
          <w:rFonts w:ascii="Arial" w:hAnsi="Arial" w:cs="Arial"/>
          <w:sz w:val="20"/>
          <w:szCs w:val="20"/>
        </w:rPr>
        <w:t>diurese</w:t>
      </w:r>
      <w:proofErr w:type="spellEnd"/>
      <w:r w:rsidRPr="00C14DA8">
        <w:rPr>
          <w:rFonts w:ascii="Arial" w:hAnsi="Arial" w:cs="Arial"/>
          <w:sz w:val="20"/>
          <w:szCs w:val="20"/>
        </w:rPr>
        <w:t xml:space="preserve"> themselves just by lowering the IV fluid rate.</w:t>
      </w:r>
    </w:p>
    <w:p w:rsidR="00C14DA8" w:rsidRPr="00C14DA8" w:rsidRDefault="00C14DA8" w:rsidP="00C14DA8">
      <w:pPr>
        <w:pStyle w:val="ListParagraph"/>
        <w:widowControl w:val="0"/>
        <w:numPr>
          <w:ilvl w:val="0"/>
          <w:numId w:val="10"/>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If in CHF or with symptoms, use furosemide 20-80 mg IV.</w:t>
      </w:r>
    </w:p>
    <w:p w:rsidR="00C14DA8" w:rsidRPr="00C14DA8" w:rsidRDefault="00C14DA8" w:rsidP="00C14DA8">
      <w:pPr>
        <w:pStyle w:val="ListParagraph"/>
        <w:widowControl w:val="0"/>
        <w:numPr>
          <w:ilvl w:val="0"/>
          <w:numId w:val="10"/>
        </w:numPr>
        <w:tabs>
          <w:tab w:val="left" w:pos="220"/>
          <w:tab w:val="left" w:pos="720"/>
        </w:tabs>
        <w:autoSpaceDE w:val="0"/>
        <w:autoSpaceDN w:val="0"/>
        <w:adjustRightInd w:val="0"/>
        <w:rPr>
          <w:rFonts w:ascii="Arial" w:hAnsi="Arial" w:cs="Arial"/>
          <w:sz w:val="20"/>
          <w:szCs w:val="20"/>
        </w:rPr>
      </w:pPr>
      <w:r w:rsidRPr="00C14DA8">
        <w:rPr>
          <w:rFonts w:ascii="Arial" w:hAnsi="Arial" w:cs="Arial"/>
          <w:sz w:val="20"/>
          <w:szCs w:val="20"/>
        </w:rPr>
        <w:t>If in renal failure, may require dialysis. Sometimes patients in renal failure can still respond to high dose furosemide while waiting for the renal consult (160-240 mg IV slowly).</w:t>
      </w:r>
    </w:p>
    <w:p w:rsidR="00C14DA8" w:rsidRPr="00C14DA8" w:rsidRDefault="00C14DA8" w:rsidP="00C14DA8">
      <w:pPr>
        <w:widowControl w:val="0"/>
        <w:autoSpaceDE w:val="0"/>
        <w:autoSpaceDN w:val="0"/>
        <w:adjustRightInd w:val="0"/>
        <w:rPr>
          <w:rFonts w:ascii="Arial" w:hAnsi="Arial" w:cs="Arial"/>
          <w:sz w:val="20"/>
          <w:szCs w:val="20"/>
        </w:rPr>
      </w:pPr>
      <w:r w:rsidRPr="00C14DA8">
        <w:rPr>
          <w:rFonts w:ascii="Arial" w:hAnsi="Arial" w:cs="Arial"/>
          <w:sz w:val="20"/>
          <w:szCs w:val="20"/>
        </w:rPr>
        <w:t xml:space="preserve">8. </w:t>
      </w:r>
      <w:r w:rsidRPr="00C14DA8">
        <w:rPr>
          <w:rFonts w:ascii="Arial" w:hAnsi="Arial" w:cs="Arial"/>
          <w:b/>
          <w:bCs/>
          <w:sz w:val="20"/>
          <w:szCs w:val="20"/>
        </w:rPr>
        <w:t xml:space="preserve">Complications: </w:t>
      </w:r>
      <w:r w:rsidRPr="00C14DA8">
        <w:rPr>
          <w:rFonts w:ascii="Arial" w:hAnsi="Arial" w:cs="Arial"/>
          <w:sz w:val="20"/>
          <w:szCs w:val="20"/>
        </w:rPr>
        <w:t>acute oliguria is associated with higher rates of infection, gastritis, GI bleeding, AMS, and arrhythmias. Consider prophylaxis and/or closer monitoring of these possibilities.</w:t>
      </w:r>
    </w:p>
    <w:p w:rsidR="00C14DA8" w:rsidRPr="00C14DA8" w:rsidRDefault="00C14DA8" w:rsidP="00C14DA8">
      <w:pPr>
        <w:widowControl w:val="0"/>
        <w:autoSpaceDE w:val="0"/>
        <w:autoSpaceDN w:val="0"/>
        <w:adjustRightInd w:val="0"/>
        <w:rPr>
          <w:rFonts w:ascii="Arial" w:hAnsi="Arial" w:cs="Arial"/>
          <w:sz w:val="20"/>
          <w:szCs w:val="20"/>
        </w:rPr>
      </w:pPr>
    </w:p>
    <w:p w:rsidR="00C14DA8" w:rsidRPr="00C14DA8" w:rsidRDefault="00C14DA8" w:rsidP="00C14DA8">
      <w:pPr>
        <w:widowControl w:val="0"/>
        <w:autoSpaceDE w:val="0"/>
        <w:autoSpaceDN w:val="0"/>
        <w:adjustRightInd w:val="0"/>
        <w:rPr>
          <w:rFonts w:ascii="Arial" w:hAnsi="Arial" w:cs="Arial"/>
          <w:sz w:val="20"/>
          <w:szCs w:val="20"/>
        </w:rPr>
      </w:pPr>
      <w:proofErr w:type="spellStart"/>
      <w:r w:rsidRPr="00C14DA8">
        <w:rPr>
          <w:rFonts w:ascii="Arial" w:hAnsi="Arial" w:cs="Arial"/>
          <w:i/>
          <w:iCs/>
          <w:sz w:val="20"/>
          <w:szCs w:val="20"/>
        </w:rPr>
        <w:t>Klahr</w:t>
      </w:r>
      <w:proofErr w:type="spellEnd"/>
      <w:r w:rsidRPr="00C14DA8">
        <w:rPr>
          <w:rFonts w:ascii="Arial" w:hAnsi="Arial" w:cs="Arial"/>
          <w:i/>
          <w:iCs/>
          <w:sz w:val="20"/>
          <w:szCs w:val="20"/>
        </w:rPr>
        <w:t xml:space="preserve"> S, Miller SB.</w:t>
      </w:r>
      <w:bookmarkStart w:id="0" w:name="_GoBack"/>
      <w:bookmarkEnd w:id="0"/>
      <w:r w:rsidRPr="00C14DA8">
        <w:rPr>
          <w:rFonts w:ascii="Arial" w:hAnsi="Arial" w:cs="Arial"/>
          <w:i/>
          <w:iCs/>
          <w:sz w:val="20"/>
          <w:szCs w:val="20"/>
        </w:rPr>
        <w:t xml:space="preserve"> Acute oliguria. N </w:t>
      </w:r>
      <w:proofErr w:type="spellStart"/>
      <w:r w:rsidRPr="00C14DA8">
        <w:rPr>
          <w:rFonts w:ascii="Arial" w:hAnsi="Arial" w:cs="Arial"/>
          <w:i/>
          <w:iCs/>
          <w:sz w:val="20"/>
          <w:szCs w:val="20"/>
        </w:rPr>
        <w:t>Engl</w:t>
      </w:r>
      <w:proofErr w:type="spellEnd"/>
      <w:r w:rsidRPr="00C14DA8">
        <w:rPr>
          <w:rFonts w:ascii="Arial" w:hAnsi="Arial" w:cs="Arial"/>
          <w:i/>
          <w:iCs/>
          <w:sz w:val="20"/>
          <w:szCs w:val="20"/>
        </w:rPr>
        <w:t xml:space="preserve"> J Med 1998; 338:671-5.</w:t>
      </w:r>
    </w:p>
    <w:p w:rsidR="00DF3882" w:rsidRPr="00C14DA8" w:rsidRDefault="00DF3882">
      <w:pPr>
        <w:rPr>
          <w:rFonts w:ascii="Arial" w:hAnsi="Arial" w:cs="Arial"/>
          <w:sz w:val="20"/>
          <w:szCs w:val="20"/>
        </w:rPr>
      </w:pPr>
    </w:p>
    <w:sectPr w:rsidR="00DF3882" w:rsidRPr="00C14DA8" w:rsidSect="00B8044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18257D96"/>
    <w:multiLevelType w:val="hybridMultilevel"/>
    <w:tmpl w:val="91EC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8171BA"/>
    <w:multiLevelType w:val="hybridMultilevel"/>
    <w:tmpl w:val="9BA8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E1061F"/>
    <w:multiLevelType w:val="hybridMultilevel"/>
    <w:tmpl w:val="F93C0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1937F8"/>
    <w:multiLevelType w:val="hybridMultilevel"/>
    <w:tmpl w:val="D9589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05"/>
    <w:multiLevelType w:val="hybridMultilevel"/>
    <w:tmpl w:val="EB7E0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7"/>
  </w:num>
  <w:num w:numId="8">
    <w:abstractNumId w:val="6"/>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DA8"/>
    <w:rsid w:val="007B5D63"/>
    <w:rsid w:val="00C14DA8"/>
    <w:rsid w:val="00DF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0984B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DA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medicine.ucsf.edu/education/resed/handbook/HospH2002_C6.htm#_ACUTE_REVERSIBLE_RENA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446</Words>
  <Characters>2548</Characters>
  <Application>Microsoft Macintosh Word</Application>
  <DocSecurity>0</DocSecurity>
  <Lines>21</Lines>
  <Paragraphs>5</Paragraphs>
  <ScaleCrop>false</ScaleCrop>
  <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 Slobozhanina</dc:creator>
  <cp:keywords/>
  <dc:description/>
  <cp:lastModifiedBy>Dasha Slobozhanina</cp:lastModifiedBy>
  <cp:revision>1</cp:revision>
  <dcterms:created xsi:type="dcterms:W3CDTF">2017-07-17T14:59:00Z</dcterms:created>
  <dcterms:modified xsi:type="dcterms:W3CDTF">2017-07-17T15:01:00Z</dcterms:modified>
</cp:coreProperties>
</file>